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8"/>
          <w:szCs w:val="28"/>
        </w:rPr>
        <w:t>Бекетовой Н.И.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8"/>
          <w:szCs w:val="28"/>
        </w:rPr>
        <w:t>№2-</w:t>
      </w:r>
      <w:r>
        <w:rPr>
          <w:rFonts w:ascii="Times New Roman" w:eastAsia="Times New Roman" w:hAnsi="Times New Roman" w:cs="Times New Roman"/>
          <w:sz w:val="28"/>
          <w:szCs w:val="28"/>
        </w:rPr>
        <w:t>1186</w:t>
      </w:r>
      <w:r>
        <w:rPr>
          <w:rFonts w:ascii="Times New Roman" w:eastAsia="Times New Roman" w:hAnsi="Times New Roman" w:cs="Times New Roman"/>
          <w:sz w:val="28"/>
          <w:szCs w:val="28"/>
        </w:rPr>
        <w:t>-2803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ПАО МКК «Центр Финансовой Поддержки» к Марининой Надежде Викторовне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договору займа,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удовлетворить исковое заявление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ПАО МКК «Центр Финансовой Поддержки»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(ИНН: 7727480641, ОГРН: 1217700621709)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Марининой Надежде Викторовне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Style w:val="cat-PassportDatagrp-16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Марининой Надежды Викторовны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ПАО МКК «Центр Финансовой Поддержки»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задолженность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договору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займа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sz w:val="28"/>
          <w:szCs w:val="28"/>
        </w:rPr>
        <w:t>672213148112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31.08.2025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34 500 рублей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числе,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15 000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сумму основного долга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19 500 рублей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проценты за пользование займом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31.08.2025 по 12.04.2026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порядке распределения судебных расходов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зыскать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Марининой Надежды Викторовны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ПАО МКК «Центр Финансовой Поддержки»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eastAsia="Times New Roman" w:hAnsi="Times New Roman" w:cs="Times New Roman"/>
          <w:sz w:val="28"/>
          <w:szCs w:val="28"/>
        </w:rPr>
        <w:t>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апелляционном порядке в Ханты-Мансийский районный суд путем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№3 Ханты-Мансийского судебного района в течение месяца со дня принятия мировым судьей решения.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Миненко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Ю.Б.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1">
    <w:name w:val="cat-PassportData grp-16 rplc-11"/>
    <w:basedOn w:val="DefaultParagraphFont"/>
  </w:style>
  <w:style w:type="character" w:customStyle="1" w:styleId="cat-UserDefinedgrp-22rplc-16">
    <w:name w:val="cat-UserDefined grp-22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